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Layout w:type="fixed"/>
        <w:tblLook w:val="0000" w:firstRow="0" w:lastRow="0" w:firstColumn="0" w:lastColumn="0" w:noHBand="0" w:noVBand="0"/>
      </w:tblPr>
      <w:tblGrid>
        <w:gridCol w:w="3227"/>
        <w:gridCol w:w="1559"/>
        <w:gridCol w:w="2126"/>
        <w:gridCol w:w="993"/>
        <w:gridCol w:w="1417"/>
      </w:tblGrid>
      <w:tr w:rsidR="00AA7B29" w:rsidTr="00497D11">
        <w:trPr>
          <w:cantSplit/>
        </w:trPr>
        <w:tc>
          <w:tcPr>
            <w:tcW w:w="6912" w:type="dxa"/>
            <w:gridSpan w:val="3"/>
          </w:tcPr>
          <w:p w:rsidR="00AA7B29" w:rsidRDefault="001976A0">
            <w:pPr>
              <w:pStyle w:val="BodyText2"/>
              <w:rPr>
                <w:sz w:val="28"/>
                <w:u w:val="none"/>
              </w:rPr>
            </w:pPr>
            <w:r>
              <w:rPr>
                <w:noProof/>
                <w:sz w:val="28"/>
                <w:u w:val="none"/>
              </w:rPr>
              <w:drawing>
                <wp:anchor distT="0" distB="0" distL="114300" distR="114300" simplePos="0" relativeHeight="251657728" behindDoc="1" locked="0" layoutInCell="0" allowOverlap="1" wp14:anchorId="49ABC2CB" wp14:editId="5D5CC461">
                  <wp:simplePos x="0" y="0"/>
                  <wp:positionH relativeFrom="column">
                    <wp:posOffset>4389120</wp:posOffset>
                  </wp:positionH>
                  <wp:positionV relativeFrom="paragraph">
                    <wp:posOffset>-27305</wp:posOffset>
                  </wp:positionV>
                  <wp:extent cx="1463040" cy="121539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u w:val="none"/>
              </w:rPr>
              <w:t xml:space="preserve">RECORD OF </w:t>
            </w:r>
            <w:r w:rsidR="00AD7DBB">
              <w:rPr>
                <w:sz w:val="28"/>
                <w:u w:val="none"/>
              </w:rPr>
              <w:t>STANDING ORDER 3</w:t>
            </w:r>
            <w:r w:rsidR="00E64C39">
              <w:rPr>
                <w:sz w:val="28"/>
                <w:u w:val="none"/>
              </w:rPr>
              <w:t>5</w:t>
            </w:r>
            <w:r w:rsidR="00AD7DBB">
              <w:rPr>
                <w:sz w:val="28"/>
                <w:u w:val="none"/>
              </w:rPr>
              <w:t xml:space="preserve"> DELEGATION OF URGENT </w:t>
            </w:r>
            <w:r>
              <w:rPr>
                <w:sz w:val="28"/>
                <w:u w:val="none"/>
              </w:rPr>
              <w:t xml:space="preserve">DECISION </w:t>
            </w:r>
            <w:r w:rsidR="00AD7DBB">
              <w:rPr>
                <w:sz w:val="28"/>
                <w:u w:val="none"/>
              </w:rPr>
              <w:t xml:space="preserve">BETWEEN MEETINGS OF  A COMMITTEE </w:t>
            </w:r>
            <w:r>
              <w:rPr>
                <w:sz w:val="28"/>
                <w:u w:val="none"/>
              </w:rPr>
              <w:t xml:space="preserve">BY </w:t>
            </w:r>
            <w:r w:rsidR="00AD7DBB">
              <w:rPr>
                <w:sz w:val="28"/>
                <w:u w:val="none"/>
              </w:rPr>
              <w:t>THE CHIEF EXECUTIVE (DELEGATED IF UNAVAILABLE) IN</w:t>
            </w:r>
            <w:r>
              <w:rPr>
                <w:sz w:val="28"/>
                <w:u w:val="none"/>
              </w:rPr>
              <w:t xml:space="preserve"> CONSULTATION WITH PORTFOLIO HOLDER/COMMITTEE CHAIRMAN</w:t>
            </w:r>
          </w:p>
          <w:p w:rsidR="00AA7B29" w:rsidRDefault="00AA7B29">
            <w:pPr>
              <w:pStyle w:val="BodyText2"/>
              <w:rPr>
                <w:sz w:val="26"/>
                <w:u w:val="none"/>
              </w:rPr>
            </w:pPr>
          </w:p>
        </w:tc>
        <w:tc>
          <w:tcPr>
            <w:tcW w:w="2410" w:type="dxa"/>
            <w:gridSpan w:val="2"/>
          </w:tcPr>
          <w:p w:rsidR="00AA7B29" w:rsidRDefault="00AA7B29">
            <w:pPr>
              <w:jc w:val="center"/>
              <w:rPr>
                <w:rFonts w:ascii="Arial" w:hAnsi="Arial"/>
                <w:b/>
                <w:sz w:val="26"/>
                <w:u w:val="single"/>
              </w:rPr>
            </w:pPr>
          </w:p>
        </w:tc>
      </w:tr>
      <w:tr w:rsidR="00AA7B29" w:rsidTr="00497D11">
        <w:trPr>
          <w:cantSplit/>
        </w:trPr>
        <w:tc>
          <w:tcPr>
            <w:tcW w:w="3227" w:type="dxa"/>
          </w:tcPr>
          <w:p w:rsidR="00AA7B29" w:rsidRDefault="001976A0">
            <w:pPr>
              <w:rPr>
                <w:rFonts w:ascii="Arial" w:hAnsi="Arial"/>
                <w:b/>
                <w:sz w:val="22"/>
              </w:rPr>
            </w:pPr>
            <w:r>
              <w:rPr>
                <w:rFonts w:ascii="Arial" w:hAnsi="Arial"/>
                <w:b/>
                <w:sz w:val="22"/>
              </w:rPr>
              <w:t>SMT Member:</w:t>
            </w:r>
          </w:p>
        </w:tc>
        <w:tc>
          <w:tcPr>
            <w:tcW w:w="6095" w:type="dxa"/>
            <w:gridSpan w:val="4"/>
            <w:tcBorders>
              <w:top w:val="single" w:sz="4" w:space="0" w:color="auto"/>
              <w:left w:val="single" w:sz="4" w:space="0" w:color="auto"/>
              <w:bottom w:val="single" w:sz="4" w:space="0" w:color="auto"/>
              <w:right w:val="single" w:sz="4" w:space="0" w:color="auto"/>
            </w:tcBorders>
          </w:tcPr>
          <w:p w:rsidR="00AA7B29" w:rsidRDefault="00B06883" w:rsidP="00221343">
            <w:pPr>
              <w:rPr>
                <w:rFonts w:ascii="Arial" w:hAnsi="Arial"/>
                <w:sz w:val="22"/>
              </w:rPr>
            </w:pPr>
            <w:r>
              <w:rPr>
                <w:rFonts w:ascii="Arial" w:hAnsi="Arial"/>
                <w:sz w:val="22"/>
              </w:rPr>
              <w:t xml:space="preserve">David Whelan </w:t>
            </w:r>
          </w:p>
          <w:p w:rsidR="00221343" w:rsidRDefault="00E64C39" w:rsidP="00221343">
            <w:pPr>
              <w:rPr>
                <w:rFonts w:ascii="Arial" w:hAnsi="Arial"/>
                <w:sz w:val="22"/>
              </w:rPr>
            </w:pPr>
            <w:r>
              <w:rPr>
                <w:rFonts w:ascii="Arial" w:hAnsi="Arial"/>
                <w:sz w:val="22"/>
              </w:rPr>
              <w:t>Interim Monitoring Officer</w:t>
            </w:r>
          </w:p>
        </w:tc>
      </w:tr>
      <w:tr w:rsidR="00AA7B29" w:rsidTr="00497D11">
        <w:trPr>
          <w:cantSplit/>
        </w:trPr>
        <w:tc>
          <w:tcPr>
            <w:tcW w:w="3227" w:type="dxa"/>
          </w:tcPr>
          <w:p w:rsidR="00AA7B29" w:rsidRDefault="001976A0">
            <w:pPr>
              <w:rPr>
                <w:rFonts w:ascii="Arial" w:hAnsi="Arial"/>
                <w:b/>
                <w:sz w:val="22"/>
              </w:rPr>
            </w:pPr>
            <w:r>
              <w:rPr>
                <w:rFonts w:ascii="Arial" w:hAnsi="Arial"/>
                <w:b/>
                <w:sz w:val="22"/>
              </w:rPr>
              <w:t>Service Group:</w:t>
            </w:r>
          </w:p>
        </w:tc>
        <w:tc>
          <w:tcPr>
            <w:tcW w:w="6095" w:type="dxa"/>
            <w:gridSpan w:val="4"/>
            <w:tcBorders>
              <w:top w:val="single" w:sz="4" w:space="0" w:color="auto"/>
              <w:left w:val="single" w:sz="4" w:space="0" w:color="auto"/>
              <w:bottom w:val="single" w:sz="4" w:space="0" w:color="auto"/>
              <w:right w:val="single" w:sz="4" w:space="0" w:color="auto"/>
            </w:tcBorders>
          </w:tcPr>
          <w:p w:rsidR="00AA7B29" w:rsidRPr="00221343" w:rsidRDefault="00B06883" w:rsidP="00221343">
            <w:pPr>
              <w:rPr>
                <w:rFonts w:ascii="Arial" w:hAnsi="Arial"/>
                <w:sz w:val="22"/>
              </w:rPr>
            </w:pPr>
            <w:r>
              <w:rPr>
                <w:rFonts w:ascii="Arial" w:hAnsi="Arial"/>
                <w:sz w:val="22"/>
              </w:rPr>
              <w:t>Corporate Governance</w:t>
            </w:r>
          </w:p>
        </w:tc>
      </w:tr>
      <w:tr w:rsidR="00AA7B29" w:rsidTr="00497D11">
        <w:tc>
          <w:tcPr>
            <w:tcW w:w="3227" w:type="dxa"/>
          </w:tcPr>
          <w:p w:rsidR="00AA7B29" w:rsidRDefault="001976A0">
            <w:pPr>
              <w:rPr>
                <w:rFonts w:ascii="Arial" w:hAnsi="Arial"/>
                <w:b/>
                <w:sz w:val="22"/>
              </w:rPr>
            </w:pPr>
            <w:r>
              <w:rPr>
                <w:rFonts w:ascii="Arial" w:hAnsi="Arial"/>
                <w:b/>
                <w:sz w:val="22"/>
              </w:rPr>
              <w:t>Portfolio Holder/Chairman:</w:t>
            </w:r>
          </w:p>
        </w:tc>
        <w:tc>
          <w:tcPr>
            <w:tcW w:w="6095" w:type="dxa"/>
            <w:gridSpan w:val="4"/>
            <w:tcBorders>
              <w:top w:val="single" w:sz="4" w:space="0" w:color="auto"/>
              <w:left w:val="single" w:sz="4" w:space="0" w:color="auto"/>
              <w:bottom w:val="single" w:sz="4" w:space="0" w:color="auto"/>
              <w:right w:val="single" w:sz="4" w:space="0" w:color="auto"/>
            </w:tcBorders>
          </w:tcPr>
          <w:p w:rsidR="00AA7B29" w:rsidRDefault="00AD7DBB">
            <w:pPr>
              <w:rPr>
                <w:rFonts w:ascii="Arial" w:hAnsi="Arial"/>
                <w:sz w:val="22"/>
              </w:rPr>
            </w:pPr>
            <w:r>
              <w:rPr>
                <w:rFonts w:ascii="Arial" w:hAnsi="Arial"/>
                <w:sz w:val="22"/>
              </w:rPr>
              <w:t xml:space="preserve">Cllr </w:t>
            </w:r>
            <w:r w:rsidR="00CC4E16">
              <w:rPr>
                <w:rFonts w:ascii="Arial" w:hAnsi="Arial"/>
                <w:sz w:val="22"/>
              </w:rPr>
              <w:t>Jackie Mort</w:t>
            </w:r>
          </w:p>
        </w:tc>
      </w:tr>
      <w:tr w:rsidR="00AA7B29" w:rsidTr="00497D11">
        <w:tc>
          <w:tcPr>
            <w:tcW w:w="3227" w:type="dxa"/>
          </w:tcPr>
          <w:p w:rsidR="00AA7B29" w:rsidRDefault="001976A0">
            <w:pPr>
              <w:rPr>
                <w:rFonts w:ascii="Arial" w:hAnsi="Arial"/>
                <w:b/>
                <w:sz w:val="22"/>
              </w:rPr>
            </w:pPr>
            <w:r>
              <w:rPr>
                <w:rFonts w:ascii="Arial" w:hAnsi="Arial"/>
                <w:b/>
                <w:sz w:val="22"/>
              </w:rPr>
              <w:t>Portfolio/Committee:</w:t>
            </w:r>
          </w:p>
        </w:tc>
        <w:tc>
          <w:tcPr>
            <w:tcW w:w="6095" w:type="dxa"/>
            <w:gridSpan w:val="4"/>
            <w:tcBorders>
              <w:top w:val="single" w:sz="4" w:space="0" w:color="auto"/>
              <w:left w:val="single" w:sz="4" w:space="0" w:color="auto"/>
              <w:bottom w:val="single" w:sz="4" w:space="0" w:color="auto"/>
              <w:right w:val="single" w:sz="4" w:space="0" w:color="auto"/>
            </w:tcBorders>
          </w:tcPr>
          <w:p w:rsidR="00AA7B29" w:rsidRDefault="00AD7DBB">
            <w:pPr>
              <w:rPr>
                <w:rFonts w:ascii="Arial" w:hAnsi="Arial"/>
                <w:sz w:val="22"/>
              </w:rPr>
            </w:pPr>
            <w:r>
              <w:rPr>
                <w:rFonts w:ascii="Arial" w:hAnsi="Arial"/>
                <w:sz w:val="22"/>
              </w:rPr>
              <w:t xml:space="preserve"> Licensing Committee</w:t>
            </w:r>
          </w:p>
        </w:tc>
      </w:tr>
      <w:tr w:rsidR="00AA7B29" w:rsidTr="00497D11">
        <w:tc>
          <w:tcPr>
            <w:tcW w:w="3227" w:type="dxa"/>
          </w:tcPr>
          <w:p w:rsidR="00AA7B29" w:rsidRDefault="00AA7B29">
            <w:pPr>
              <w:rPr>
                <w:rFonts w:ascii="Arial" w:hAnsi="Arial"/>
                <w:b/>
                <w:sz w:val="22"/>
              </w:rPr>
            </w:pPr>
          </w:p>
        </w:tc>
        <w:tc>
          <w:tcPr>
            <w:tcW w:w="6095" w:type="dxa"/>
            <w:gridSpan w:val="4"/>
          </w:tcPr>
          <w:p w:rsidR="00AA7B29" w:rsidRDefault="00AA7B29">
            <w:pPr>
              <w:rPr>
                <w:rFonts w:ascii="Arial" w:hAnsi="Arial"/>
                <w:sz w:val="22"/>
              </w:rPr>
            </w:pPr>
          </w:p>
        </w:tc>
      </w:tr>
      <w:tr w:rsidR="00AA7B29" w:rsidTr="00497D11">
        <w:trPr>
          <w:trHeight w:val="301"/>
        </w:trPr>
        <w:tc>
          <w:tcPr>
            <w:tcW w:w="3227" w:type="dxa"/>
          </w:tcPr>
          <w:p w:rsidR="00AA7B29" w:rsidRDefault="001976A0">
            <w:pPr>
              <w:rPr>
                <w:rFonts w:ascii="Arial" w:hAnsi="Arial"/>
                <w:b/>
                <w:sz w:val="22"/>
              </w:rPr>
            </w:pPr>
            <w:r>
              <w:rPr>
                <w:rFonts w:ascii="Arial" w:hAnsi="Arial"/>
                <w:b/>
                <w:sz w:val="22"/>
              </w:rPr>
              <w:t>Subject:</w:t>
            </w:r>
          </w:p>
          <w:p w:rsidR="00AA7B29" w:rsidRDefault="00AA7B29">
            <w:pPr>
              <w:rPr>
                <w:rFonts w:ascii="Arial" w:hAnsi="Arial"/>
                <w:b/>
                <w:sz w:val="22"/>
              </w:rPr>
            </w:pPr>
          </w:p>
        </w:tc>
        <w:tc>
          <w:tcPr>
            <w:tcW w:w="6095" w:type="dxa"/>
            <w:gridSpan w:val="4"/>
            <w:tcBorders>
              <w:top w:val="single" w:sz="4" w:space="0" w:color="auto"/>
              <w:left w:val="single" w:sz="4" w:space="0" w:color="auto"/>
              <w:bottom w:val="single" w:sz="4" w:space="0" w:color="auto"/>
              <w:right w:val="single" w:sz="4" w:space="0" w:color="auto"/>
            </w:tcBorders>
          </w:tcPr>
          <w:p w:rsidR="00AA7B29" w:rsidRDefault="00E64C39">
            <w:pPr>
              <w:rPr>
                <w:rFonts w:ascii="Arial" w:hAnsi="Arial"/>
                <w:sz w:val="22"/>
              </w:rPr>
            </w:pPr>
            <w:r>
              <w:rPr>
                <w:rFonts w:ascii="Arial" w:hAnsi="Arial"/>
                <w:sz w:val="22"/>
              </w:rPr>
              <w:t>Settling</w:t>
            </w:r>
            <w:r w:rsidR="003A433D">
              <w:rPr>
                <w:rFonts w:ascii="Arial" w:hAnsi="Arial"/>
                <w:sz w:val="22"/>
              </w:rPr>
              <w:t xml:space="preserve"> an Appeal pursuant to Section 181 of the Licensing Act 2003.</w:t>
            </w:r>
          </w:p>
        </w:tc>
      </w:tr>
      <w:tr w:rsidR="00AA7B29" w:rsidTr="00497D11">
        <w:tc>
          <w:tcPr>
            <w:tcW w:w="3227" w:type="dxa"/>
          </w:tcPr>
          <w:p w:rsidR="00AA7B29" w:rsidRDefault="00AA7B29">
            <w:pPr>
              <w:rPr>
                <w:rFonts w:ascii="Arial" w:hAnsi="Arial"/>
                <w:b/>
                <w:sz w:val="22"/>
              </w:rPr>
            </w:pPr>
          </w:p>
        </w:tc>
        <w:tc>
          <w:tcPr>
            <w:tcW w:w="6095" w:type="dxa"/>
            <w:gridSpan w:val="4"/>
          </w:tcPr>
          <w:p w:rsidR="00AA7B29" w:rsidRDefault="00AA7B29">
            <w:pPr>
              <w:rPr>
                <w:rFonts w:ascii="Arial" w:hAnsi="Arial"/>
                <w:sz w:val="22"/>
              </w:rPr>
            </w:pPr>
          </w:p>
        </w:tc>
      </w:tr>
      <w:tr w:rsidR="00AA7B29" w:rsidTr="00497D11">
        <w:tc>
          <w:tcPr>
            <w:tcW w:w="3227" w:type="dxa"/>
          </w:tcPr>
          <w:p w:rsidR="00AA7B29" w:rsidRDefault="001976A0">
            <w:pPr>
              <w:rPr>
                <w:rFonts w:ascii="Arial" w:hAnsi="Arial"/>
                <w:b/>
                <w:sz w:val="22"/>
              </w:rPr>
            </w:pPr>
            <w:r>
              <w:rPr>
                <w:rFonts w:ascii="Arial" w:hAnsi="Arial"/>
                <w:b/>
                <w:sz w:val="22"/>
              </w:rPr>
              <w:t>Decision:</w:t>
            </w:r>
          </w:p>
          <w:p w:rsidR="00AA7B29" w:rsidRDefault="00AA7B29">
            <w:pPr>
              <w:rPr>
                <w:rFonts w:ascii="Arial" w:hAnsi="Arial"/>
                <w:b/>
                <w:sz w:val="22"/>
              </w:rPr>
            </w:pPr>
          </w:p>
          <w:p w:rsidR="00AA7B29" w:rsidRDefault="00AA7B29">
            <w:pPr>
              <w:rPr>
                <w:rFonts w:ascii="Arial" w:hAnsi="Arial"/>
                <w:b/>
                <w:sz w:val="22"/>
              </w:rPr>
            </w:pPr>
          </w:p>
          <w:p w:rsidR="00AA7B29" w:rsidRDefault="00AA7B29">
            <w:pPr>
              <w:rPr>
                <w:rFonts w:ascii="Arial" w:hAnsi="Arial"/>
                <w:b/>
                <w:sz w:val="22"/>
              </w:rPr>
            </w:pPr>
          </w:p>
        </w:tc>
        <w:tc>
          <w:tcPr>
            <w:tcW w:w="6095" w:type="dxa"/>
            <w:gridSpan w:val="4"/>
            <w:tcBorders>
              <w:top w:val="single" w:sz="4" w:space="0" w:color="auto"/>
              <w:left w:val="single" w:sz="4" w:space="0" w:color="auto"/>
              <w:bottom w:val="single" w:sz="4" w:space="0" w:color="auto"/>
              <w:right w:val="single" w:sz="4" w:space="0" w:color="auto"/>
            </w:tcBorders>
          </w:tcPr>
          <w:p w:rsidR="00AA7B29" w:rsidRDefault="00AD7DBB">
            <w:pPr>
              <w:rPr>
                <w:rFonts w:ascii="Arial" w:hAnsi="Arial"/>
                <w:sz w:val="22"/>
              </w:rPr>
            </w:pPr>
            <w:r>
              <w:rPr>
                <w:rFonts w:ascii="Arial" w:hAnsi="Arial"/>
                <w:sz w:val="22"/>
              </w:rPr>
              <w:t>SO3</w:t>
            </w:r>
            <w:r w:rsidR="00E64C39">
              <w:rPr>
                <w:rFonts w:ascii="Arial" w:hAnsi="Arial"/>
                <w:sz w:val="22"/>
              </w:rPr>
              <w:t>5</w:t>
            </w:r>
          </w:p>
          <w:p w:rsidR="00AD7DBB" w:rsidRDefault="00AD7DBB" w:rsidP="00AD7DBB">
            <w:pPr>
              <w:rPr>
                <w:rFonts w:ascii="Arial" w:hAnsi="Arial"/>
                <w:sz w:val="22"/>
              </w:rPr>
            </w:pPr>
            <w:r>
              <w:rPr>
                <w:rFonts w:ascii="Arial" w:hAnsi="Arial"/>
                <w:sz w:val="22"/>
              </w:rPr>
              <w:t xml:space="preserve">To </w:t>
            </w:r>
            <w:r w:rsidR="003A433D">
              <w:rPr>
                <w:rFonts w:ascii="Arial" w:hAnsi="Arial"/>
                <w:sz w:val="22"/>
              </w:rPr>
              <w:t xml:space="preserve">agree that </w:t>
            </w:r>
            <w:r w:rsidR="00E64C39">
              <w:rPr>
                <w:rFonts w:ascii="Arial" w:hAnsi="Arial"/>
                <w:sz w:val="22"/>
              </w:rPr>
              <w:t>settling</w:t>
            </w:r>
            <w:r w:rsidR="003A433D">
              <w:rPr>
                <w:rFonts w:ascii="Arial" w:hAnsi="Arial"/>
                <w:sz w:val="22"/>
              </w:rPr>
              <w:t xml:space="preserve"> the Appeal is a necessary and proportionate step in the circumstances. The licence could be reinstated to allow the sale of alcohol by retail.</w:t>
            </w:r>
          </w:p>
        </w:tc>
      </w:tr>
      <w:tr w:rsidR="00AA7B29" w:rsidTr="00497D11">
        <w:tc>
          <w:tcPr>
            <w:tcW w:w="3227" w:type="dxa"/>
          </w:tcPr>
          <w:p w:rsidR="00AA7B29" w:rsidRDefault="00AA7B29">
            <w:pPr>
              <w:rPr>
                <w:rFonts w:ascii="Arial" w:hAnsi="Arial"/>
                <w:b/>
                <w:sz w:val="22"/>
              </w:rPr>
            </w:pPr>
          </w:p>
        </w:tc>
        <w:tc>
          <w:tcPr>
            <w:tcW w:w="6095" w:type="dxa"/>
            <w:gridSpan w:val="4"/>
          </w:tcPr>
          <w:p w:rsidR="00AA7B29" w:rsidRDefault="00AA7B29">
            <w:pPr>
              <w:rPr>
                <w:rFonts w:ascii="Arial" w:hAnsi="Arial"/>
                <w:sz w:val="22"/>
              </w:rPr>
            </w:pPr>
          </w:p>
        </w:tc>
      </w:tr>
      <w:tr w:rsidR="00AA7B29" w:rsidTr="00497D11">
        <w:tc>
          <w:tcPr>
            <w:tcW w:w="3227" w:type="dxa"/>
          </w:tcPr>
          <w:p w:rsidR="00AA7B29" w:rsidRDefault="001976A0">
            <w:pPr>
              <w:rPr>
                <w:rFonts w:ascii="Arial" w:hAnsi="Arial"/>
                <w:b/>
                <w:sz w:val="22"/>
              </w:rPr>
            </w:pPr>
            <w:r>
              <w:rPr>
                <w:rFonts w:ascii="Arial" w:hAnsi="Arial"/>
                <w:b/>
                <w:sz w:val="22"/>
              </w:rPr>
              <w:t>Details and Reasoning:</w:t>
            </w:r>
          </w:p>
          <w:p w:rsidR="00AA7B29" w:rsidRDefault="00AA7B29">
            <w:pPr>
              <w:rPr>
                <w:rFonts w:ascii="Arial" w:hAnsi="Arial"/>
                <w:b/>
                <w:sz w:val="22"/>
              </w:rPr>
            </w:pPr>
          </w:p>
          <w:p w:rsidR="00AA7B29" w:rsidRDefault="00AA7B29">
            <w:pPr>
              <w:rPr>
                <w:rFonts w:ascii="Arial" w:hAnsi="Arial"/>
                <w:b/>
                <w:sz w:val="22"/>
              </w:rPr>
            </w:pPr>
          </w:p>
          <w:p w:rsidR="00AA7B29" w:rsidRDefault="00AA7B29">
            <w:pPr>
              <w:rPr>
                <w:rFonts w:ascii="Arial" w:hAnsi="Arial"/>
                <w:b/>
                <w:sz w:val="22"/>
              </w:rPr>
            </w:pPr>
          </w:p>
          <w:p w:rsidR="00AA7B29" w:rsidRDefault="00AA7B29">
            <w:pPr>
              <w:rPr>
                <w:rFonts w:ascii="Arial" w:hAnsi="Arial"/>
                <w:b/>
                <w:sz w:val="22"/>
              </w:rPr>
            </w:pPr>
          </w:p>
          <w:p w:rsidR="00AA7B29" w:rsidRDefault="00AA7B29">
            <w:pPr>
              <w:rPr>
                <w:rFonts w:ascii="Arial" w:hAnsi="Arial"/>
                <w:b/>
                <w:sz w:val="22"/>
              </w:rPr>
            </w:pPr>
          </w:p>
          <w:p w:rsidR="00AA7B29" w:rsidRDefault="00AA7B29">
            <w:pPr>
              <w:rPr>
                <w:rFonts w:ascii="Arial" w:hAnsi="Arial"/>
                <w:b/>
                <w:sz w:val="22"/>
              </w:rPr>
            </w:pPr>
          </w:p>
        </w:tc>
        <w:tc>
          <w:tcPr>
            <w:tcW w:w="6095" w:type="dxa"/>
            <w:gridSpan w:val="4"/>
            <w:tcBorders>
              <w:top w:val="single" w:sz="4" w:space="0" w:color="auto"/>
              <w:left w:val="single" w:sz="4" w:space="0" w:color="auto"/>
              <w:bottom w:val="single" w:sz="4" w:space="0" w:color="auto"/>
              <w:right w:val="single" w:sz="4" w:space="0" w:color="auto"/>
            </w:tcBorders>
          </w:tcPr>
          <w:p w:rsidR="006403FB" w:rsidRDefault="003A433D" w:rsidP="00221343">
            <w:pPr>
              <w:jc w:val="both"/>
              <w:rPr>
                <w:rFonts w:ascii="Arial" w:hAnsi="Arial"/>
                <w:sz w:val="22"/>
              </w:rPr>
            </w:pPr>
            <w:r>
              <w:rPr>
                <w:rFonts w:ascii="Arial" w:hAnsi="Arial"/>
                <w:sz w:val="22"/>
              </w:rPr>
              <w:t>Moss Lane Convenience</w:t>
            </w:r>
            <w:r w:rsidR="00CC4E16">
              <w:rPr>
                <w:rFonts w:ascii="Arial" w:hAnsi="Arial"/>
                <w:sz w:val="22"/>
              </w:rPr>
              <w:t xml:space="preserve"> Store</w:t>
            </w:r>
            <w:r>
              <w:rPr>
                <w:rFonts w:ascii="Arial" w:hAnsi="Arial"/>
                <w:sz w:val="22"/>
              </w:rPr>
              <w:t xml:space="preserve"> </w:t>
            </w:r>
            <w:r w:rsidR="006403FB">
              <w:rPr>
                <w:rFonts w:ascii="Arial" w:hAnsi="Arial"/>
                <w:sz w:val="22"/>
              </w:rPr>
              <w:t>was the respondent to a Review</w:t>
            </w:r>
            <w:r w:rsidR="00E64C39">
              <w:rPr>
                <w:rFonts w:ascii="Arial" w:hAnsi="Arial"/>
                <w:sz w:val="22"/>
              </w:rPr>
              <w:t xml:space="preserve"> brought</w:t>
            </w:r>
            <w:r w:rsidR="006403FB">
              <w:rPr>
                <w:rFonts w:ascii="Arial" w:hAnsi="Arial"/>
                <w:sz w:val="22"/>
              </w:rPr>
              <w:t xml:space="preserve"> pursuant to Section 51 of the Licensing Act 2003. The </w:t>
            </w:r>
            <w:r w:rsidR="009B513A">
              <w:rPr>
                <w:rFonts w:ascii="Arial" w:hAnsi="Arial"/>
                <w:sz w:val="22"/>
              </w:rPr>
              <w:t>review</w:t>
            </w:r>
            <w:r w:rsidR="006403FB">
              <w:rPr>
                <w:rFonts w:ascii="Arial" w:hAnsi="Arial"/>
                <w:sz w:val="22"/>
              </w:rPr>
              <w:t xml:space="preserve"> was brought by the Licensing Authority on the grounds of undermining one of the</w:t>
            </w:r>
            <w:r w:rsidR="00E64C39">
              <w:rPr>
                <w:rFonts w:ascii="Arial" w:hAnsi="Arial"/>
                <w:sz w:val="22"/>
              </w:rPr>
              <w:t xml:space="preserve"> following</w:t>
            </w:r>
            <w:r w:rsidR="006403FB">
              <w:rPr>
                <w:rFonts w:ascii="Arial" w:hAnsi="Arial"/>
                <w:sz w:val="22"/>
              </w:rPr>
              <w:t xml:space="preserve"> Licensing Objectives, namely;</w:t>
            </w:r>
          </w:p>
          <w:p w:rsidR="00E64C39" w:rsidRDefault="00E64C39" w:rsidP="00221343">
            <w:pPr>
              <w:jc w:val="both"/>
              <w:rPr>
                <w:rFonts w:ascii="Arial" w:hAnsi="Arial"/>
                <w:sz w:val="22"/>
              </w:rPr>
            </w:pPr>
          </w:p>
          <w:p w:rsidR="006403FB" w:rsidRDefault="006403FB" w:rsidP="00221343">
            <w:pPr>
              <w:jc w:val="both"/>
              <w:rPr>
                <w:rFonts w:ascii="Arial" w:hAnsi="Arial"/>
                <w:sz w:val="22"/>
              </w:rPr>
            </w:pPr>
            <w:r>
              <w:rPr>
                <w:rFonts w:ascii="Arial" w:hAnsi="Arial"/>
                <w:sz w:val="22"/>
              </w:rPr>
              <w:t>Public Safety</w:t>
            </w:r>
          </w:p>
          <w:p w:rsidR="006403FB" w:rsidRDefault="006403FB" w:rsidP="00221343">
            <w:pPr>
              <w:jc w:val="both"/>
              <w:rPr>
                <w:rFonts w:ascii="Arial" w:hAnsi="Arial"/>
                <w:sz w:val="22"/>
              </w:rPr>
            </w:pPr>
            <w:r>
              <w:rPr>
                <w:rFonts w:ascii="Arial" w:hAnsi="Arial"/>
                <w:sz w:val="22"/>
              </w:rPr>
              <w:t>Prevention of Crime and Disorder and</w:t>
            </w:r>
          </w:p>
          <w:p w:rsidR="006403FB" w:rsidRDefault="006403FB" w:rsidP="00221343">
            <w:pPr>
              <w:jc w:val="both"/>
              <w:rPr>
                <w:rFonts w:ascii="Arial" w:hAnsi="Arial"/>
                <w:sz w:val="22"/>
              </w:rPr>
            </w:pPr>
            <w:r>
              <w:rPr>
                <w:rFonts w:ascii="Arial" w:hAnsi="Arial"/>
                <w:sz w:val="22"/>
              </w:rPr>
              <w:t>The Protection of Children from Harm.</w:t>
            </w:r>
          </w:p>
          <w:p w:rsidR="006403FB" w:rsidRDefault="006403FB" w:rsidP="00221343">
            <w:pPr>
              <w:jc w:val="both"/>
              <w:rPr>
                <w:rFonts w:ascii="Arial" w:hAnsi="Arial"/>
                <w:sz w:val="22"/>
              </w:rPr>
            </w:pPr>
          </w:p>
          <w:p w:rsidR="00317FFC" w:rsidRDefault="00317FFC" w:rsidP="00317FFC">
            <w:pPr>
              <w:pStyle w:val="Header"/>
              <w:tabs>
                <w:tab w:val="clear" w:pos="4153"/>
                <w:tab w:val="clear" w:pos="8306"/>
              </w:tabs>
              <w:jc w:val="both"/>
            </w:pPr>
            <w:r>
              <w:t xml:space="preserve">A Licensing Act 2003 panel hearing was </w:t>
            </w:r>
            <w:r w:rsidR="00E64C39">
              <w:t>re-</w:t>
            </w:r>
            <w:r>
              <w:t>convened on the 27</w:t>
            </w:r>
            <w:r w:rsidRPr="00771C9D">
              <w:rPr>
                <w:vertAlign w:val="superscript"/>
              </w:rPr>
              <w:t>th</w:t>
            </w:r>
            <w:r>
              <w:t xml:space="preserve"> November 2018, consisting of three members, Councillor Mort (Chair), Councillor Bell and Councillor Wharton, to determine a review application in respect of Moss Lane Convenience Store, pursuant to the provisions of S52 of the Licensing act 2003.</w:t>
            </w:r>
          </w:p>
          <w:p w:rsidR="00317FFC" w:rsidRDefault="00317FFC" w:rsidP="00317FFC">
            <w:pPr>
              <w:pStyle w:val="Header"/>
              <w:tabs>
                <w:tab w:val="clear" w:pos="4153"/>
                <w:tab w:val="clear" w:pos="8306"/>
              </w:tabs>
              <w:jc w:val="both"/>
            </w:pPr>
          </w:p>
          <w:p w:rsidR="00317FFC" w:rsidRDefault="00317FFC" w:rsidP="00317FFC">
            <w:pPr>
              <w:pStyle w:val="Header"/>
              <w:tabs>
                <w:tab w:val="clear" w:pos="4153"/>
                <w:tab w:val="clear" w:pos="8306"/>
              </w:tabs>
              <w:jc w:val="both"/>
            </w:pPr>
            <w:r>
              <w:t>The initial hearing which was held on the 7</w:t>
            </w:r>
            <w:r w:rsidRPr="00D24D49">
              <w:rPr>
                <w:vertAlign w:val="superscript"/>
              </w:rPr>
              <w:t>th</w:t>
            </w:r>
            <w:r>
              <w:t xml:space="preserve"> November was adjourned because it was not in the public interest to continue the hearing.  This was due to the </w:t>
            </w:r>
            <w:r w:rsidR="00E64C39">
              <w:t>fact that</w:t>
            </w:r>
            <w:r>
              <w:t xml:space="preserve"> neither the Chair nor Vice Chair of the Committee were available to lead the meeting.  Relevant notices by virtue of Regulation 11 of the Licensing Act (Hearings) Regulations 2005, explaining the reason for the extension of time were appropriately served on the parties.  Therefore, the hearing was adjourned until the 27</w:t>
            </w:r>
            <w:r w:rsidRPr="00D24D49">
              <w:rPr>
                <w:vertAlign w:val="superscript"/>
              </w:rPr>
              <w:t>th</w:t>
            </w:r>
            <w:r>
              <w:t xml:space="preserve"> November.  </w:t>
            </w:r>
          </w:p>
          <w:p w:rsidR="00317FFC" w:rsidRDefault="00317FFC" w:rsidP="00317FFC">
            <w:pPr>
              <w:pStyle w:val="Header"/>
              <w:tabs>
                <w:tab w:val="clear" w:pos="4153"/>
                <w:tab w:val="clear" w:pos="8306"/>
              </w:tabs>
              <w:jc w:val="both"/>
            </w:pPr>
          </w:p>
          <w:p w:rsidR="00317FFC" w:rsidRDefault="00317FFC" w:rsidP="00317FFC">
            <w:pPr>
              <w:pStyle w:val="Header"/>
              <w:tabs>
                <w:tab w:val="clear" w:pos="4153"/>
                <w:tab w:val="clear" w:pos="8306"/>
              </w:tabs>
              <w:jc w:val="both"/>
            </w:pPr>
            <w:r>
              <w:t xml:space="preserve">The application for the review of the premises licence was brought by the Council’s Head of Licensing Mark Marshall on behalf of the Licensing Authority as a Responsible Authority.  </w:t>
            </w:r>
          </w:p>
          <w:p w:rsidR="00317FFC" w:rsidRDefault="00317FFC" w:rsidP="00317FFC">
            <w:pPr>
              <w:pStyle w:val="Header"/>
              <w:tabs>
                <w:tab w:val="clear" w:pos="4153"/>
                <w:tab w:val="clear" w:pos="8306"/>
              </w:tabs>
              <w:jc w:val="both"/>
            </w:pPr>
          </w:p>
          <w:p w:rsidR="00317FFC" w:rsidRDefault="00317FFC" w:rsidP="00317FFC">
            <w:pPr>
              <w:pStyle w:val="Header"/>
              <w:tabs>
                <w:tab w:val="clear" w:pos="4153"/>
                <w:tab w:val="clear" w:pos="8306"/>
              </w:tabs>
              <w:jc w:val="both"/>
            </w:pPr>
            <w:r>
              <w:t>Representations were also made by one other Responsible Authority, that being the Home Office Immigration Enforcement Team. Mr Karl Swayne of the Immigration Enforcement Section was present.</w:t>
            </w:r>
          </w:p>
          <w:p w:rsidR="00317FFC" w:rsidRDefault="00317FFC" w:rsidP="00317FFC">
            <w:pPr>
              <w:pStyle w:val="Header"/>
              <w:tabs>
                <w:tab w:val="clear" w:pos="4153"/>
                <w:tab w:val="clear" w:pos="8306"/>
              </w:tabs>
              <w:jc w:val="both"/>
            </w:pPr>
          </w:p>
          <w:p w:rsidR="00317FFC" w:rsidRDefault="00317FFC" w:rsidP="00317FFC">
            <w:pPr>
              <w:pStyle w:val="Header"/>
              <w:tabs>
                <w:tab w:val="clear" w:pos="4153"/>
                <w:tab w:val="clear" w:pos="8306"/>
              </w:tabs>
              <w:jc w:val="both"/>
            </w:pPr>
            <w:r>
              <w:lastRenderedPageBreak/>
              <w:t xml:space="preserve">The Premises Licence Holder (PLH) and Designated Premises Supervisor, </w:t>
            </w:r>
            <w:proofErr w:type="spellStart"/>
            <w:r>
              <w:t>Ranga</w:t>
            </w:r>
            <w:proofErr w:type="spellEnd"/>
            <w:r>
              <w:t xml:space="preserve"> </w:t>
            </w:r>
            <w:proofErr w:type="spellStart"/>
            <w:r>
              <w:t>Ratnasekera</w:t>
            </w:r>
            <w:proofErr w:type="spellEnd"/>
            <w:r>
              <w:t xml:space="preserve"> was in attendance and was represented by Paul Douglas.</w:t>
            </w:r>
          </w:p>
          <w:p w:rsidR="00317FFC" w:rsidRDefault="00317FFC" w:rsidP="00317FFC">
            <w:pPr>
              <w:pStyle w:val="Header"/>
              <w:tabs>
                <w:tab w:val="clear" w:pos="4153"/>
                <w:tab w:val="clear" w:pos="8306"/>
              </w:tabs>
              <w:jc w:val="both"/>
            </w:pPr>
          </w:p>
          <w:p w:rsidR="00317FFC" w:rsidRDefault="00317FFC" w:rsidP="00317FFC">
            <w:pPr>
              <w:pStyle w:val="Header"/>
              <w:tabs>
                <w:tab w:val="clear" w:pos="4153"/>
                <w:tab w:val="clear" w:pos="8306"/>
              </w:tabs>
              <w:jc w:val="both"/>
              <w:rPr>
                <w:b/>
              </w:rPr>
            </w:pPr>
            <w:r w:rsidRPr="00317FFC">
              <w:rPr>
                <w:b/>
              </w:rPr>
              <w:t>Decision</w:t>
            </w:r>
          </w:p>
          <w:p w:rsidR="00317FFC" w:rsidRPr="00D559FE" w:rsidRDefault="00317FFC" w:rsidP="00317FFC">
            <w:pPr>
              <w:pStyle w:val="Header"/>
              <w:tabs>
                <w:tab w:val="clear" w:pos="4153"/>
                <w:tab w:val="clear" w:pos="8306"/>
              </w:tabs>
              <w:jc w:val="both"/>
              <w:rPr>
                <w:b/>
              </w:rPr>
            </w:pPr>
          </w:p>
          <w:p w:rsidR="00317FFC" w:rsidRDefault="00317FFC" w:rsidP="00DA6831">
            <w:pPr>
              <w:pStyle w:val="Header"/>
              <w:tabs>
                <w:tab w:val="clear" w:pos="4153"/>
                <w:tab w:val="clear" w:pos="8306"/>
              </w:tabs>
              <w:ind w:left="67"/>
              <w:jc w:val="both"/>
            </w:pPr>
            <w:r>
              <w:t xml:space="preserve">In the circumstances the panel felt that the only appropriate measure was to revoke the licence.  Serious criminal activity had taken place at the premises and </w:t>
            </w:r>
            <w:r w:rsidR="001F099D">
              <w:t>it was considered that revocation</w:t>
            </w:r>
            <w:r>
              <w:t xml:space="preserve"> was warranted</w:t>
            </w:r>
            <w:r w:rsidR="001F099D">
              <w:t xml:space="preserve">. Such action was considered to be </w:t>
            </w:r>
            <w:r>
              <w:t>in the public interest having regard to the twin considerations of prevention and deterrence</w:t>
            </w:r>
            <w:r w:rsidR="001F099D">
              <w:t>.</w:t>
            </w:r>
            <w:r>
              <w:t xml:space="preserve"> </w:t>
            </w:r>
            <w:r w:rsidR="001F099D">
              <w:t>R</w:t>
            </w:r>
            <w:r>
              <w:t xml:space="preserve">evocation of the premises licence was an appropriate and proportionate response in terms of promoting the licensing objectives.   </w:t>
            </w:r>
          </w:p>
          <w:p w:rsidR="00317FFC" w:rsidRDefault="00317FFC" w:rsidP="00DA6831">
            <w:pPr>
              <w:pStyle w:val="Header"/>
              <w:tabs>
                <w:tab w:val="clear" w:pos="4153"/>
                <w:tab w:val="clear" w:pos="8306"/>
              </w:tabs>
              <w:ind w:left="67"/>
              <w:jc w:val="both"/>
            </w:pPr>
          </w:p>
          <w:p w:rsidR="00317FFC" w:rsidRDefault="00317FFC" w:rsidP="00DA6831">
            <w:pPr>
              <w:pStyle w:val="Header"/>
              <w:tabs>
                <w:tab w:val="clear" w:pos="4153"/>
                <w:tab w:val="clear" w:pos="8306"/>
              </w:tabs>
              <w:ind w:left="67"/>
              <w:jc w:val="both"/>
            </w:pPr>
            <w:r>
              <w:t>A full copy of the reasons for the decision are set out in the notice attached as Appendix 1.</w:t>
            </w:r>
          </w:p>
          <w:p w:rsidR="00317FFC" w:rsidRDefault="00317FFC" w:rsidP="00DA6831">
            <w:pPr>
              <w:pStyle w:val="Header"/>
              <w:tabs>
                <w:tab w:val="clear" w:pos="4153"/>
                <w:tab w:val="clear" w:pos="8306"/>
              </w:tabs>
              <w:ind w:left="67"/>
              <w:jc w:val="both"/>
            </w:pPr>
          </w:p>
          <w:p w:rsidR="00317FFC" w:rsidRDefault="009B513A" w:rsidP="00DA6831">
            <w:pPr>
              <w:pStyle w:val="Header"/>
              <w:tabs>
                <w:tab w:val="clear" w:pos="4153"/>
                <w:tab w:val="clear" w:pos="8306"/>
              </w:tabs>
              <w:ind w:left="67"/>
              <w:jc w:val="both"/>
            </w:pPr>
            <w:r>
              <w:t>The Licence holder submitted an Appeal to the Magistrates against the Licensing Authorities decision and we are at a point in the process where the exchange of documents will be necessary to comply with the Court</w:t>
            </w:r>
            <w:r w:rsidR="001F099D">
              <w:t>’</w:t>
            </w:r>
            <w:r>
              <w:t>s Directions.</w:t>
            </w:r>
          </w:p>
          <w:p w:rsidR="009B513A" w:rsidRDefault="009B513A" w:rsidP="00DA6831">
            <w:pPr>
              <w:pStyle w:val="Header"/>
              <w:tabs>
                <w:tab w:val="clear" w:pos="4153"/>
                <w:tab w:val="clear" w:pos="8306"/>
              </w:tabs>
              <w:ind w:left="67"/>
              <w:jc w:val="both"/>
            </w:pPr>
          </w:p>
          <w:p w:rsidR="009B513A" w:rsidRDefault="009B513A" w:rsidP="00DA6831">
            <w:pPr>
              <w:pStyle w:val="Header"/>
              <w:tabs>
                <w:tab w:val="clear" w:pos="4153"/>
                <w:tab w:val="clear" w:pos="8306"/>
              </w:tabs>
              <w:ind w:left="67"/>
              <w:jc w:val="both"/>
            </w:pPr>
            <w:r>
              <w:t xml:space="preserve">In early January 2019 the </w:t>
            </w:r>
            <w:r w:rsidR="009B4DE1">
              <w:t>D</w:t>
            </w:r>
            <w:r>
              <w:t xml:space="preserve">epartment was contacted by an interested party who wished to take over the business, his client was an operator from Liverpool who had 2 </w:t>
            </w:r>
            <w:r w:rsidR="00865F63">
              <w:t xml:space="preserve">(off </w:t>
            </w:r>
            <w:r w:rsidR="00D559FE">
              <w:t>licensed)</w:t>
            </w:r>
            <w:r w:rsidR="00865F63">
              <w:t xml:space="preserve"> premises. His intention was to transfer the licence.</w:t>
            </w:r>
          </w:p>
          <w:p w:rsidR="00865F63" w:rsidRDefault="00865F63" w:rsidP="00DA6831">
            <w:pPr>
              <w:pStyle w:val="Header"/>
              <w:tabs>
                <w:tab w:val="clear" w:pos="4153"/>
                <w:tab w:val="clear" w:pos="8306"/>
              </w:tabs>
              <w:ind w:left="67"/>
              <w:jc w:val="both"/>
            </w:pPr>
            <w:r>
              <w:t xml:space="preserve">It was explained that clear severance would be needed, in the form of a new lease which demonstrated that the previous licence holder had no interests in the business </w:t>
            </w:r>
            <w:r w:rsidR="009B4DE1">
              <w:t>before</w:t>
            </w:r>
            <w:r w:rsidR="001F099D">
              <w:t xml:space="preserve"> any settlement of the Appeal could even be considered.</w:t>
            </w:r>
            <w:r w:rsidR="009B4DE1">
              <w:t xml:space="preserve"> </w:t>
            </w:r>
          </w:p>
          <w:p w:rsidR="00865F63" w:rsidRDefault="00865F63" w:rsidP="00DA6831">
            <w:pPr>
              <w:pStyle w:val="Header"/>
              <w:tabs>
                <w:tab w:val="clear" w:pos="4153"/>
                <w:tab w:val="clear" w:pos="8306"/>
              </w:tabs>
              <w:ind w:left="67"/>
              <w:jc w:val="both"/>
            </w:pPr>
          </w:p>
          <w:p w:rsidR="00865F63" w:rsidRDefault="00865F63" w:rsidP="00DA6831">
            <w:pPr>
              <w:pStyle w:val="Header"/>
              <w:tabs>
                <w:tab w:val="clear" w:pos="4153"/>
                <w:tab w:val="clear" w:pos="8306"/>
              </w:tabs>
              <w:ind w:left="67"/>
              <w:jc w:val="both"/>
            </w:pPr>
            <w:r>
              <w:t>The first e mail was received on the 9</w:t>
            </w:r>
            <w:r w:rsidRPr="00D559FE">
              <w:rPr>
                <w:vertAlign w:val="superscript"/>
              </w:rPr>
              <w:t>th</w:t>
            </w:r>
            <w:r>
              <w:t xml:space="preserve"> January 2019 from Ian Rushton setting out his </w:t>
            </w:r>
            <w:r w:rsidR="00DA6831">
              <w:t>client’s</w:t>
            </w:r>
            <w:r>
              <w:t xml:space="preserve"> intentions, a copy of the relevant e mail correspondence between Mr Rushton and the Department is attached as Appendix 2.</w:t>
            </w:r>
          </w:p>
          <w:p w:rsidR="00DA6831" w:rsidRDefault="00DA6831" w:rsidP="00DA6831">
            <w:pPr>
              <w:pStyle w:val="Header"/>
              <w:tabs>
                <w:tab w:val="clear" w:pos="4153"/>
                <w:tab w:val="clear" w:pos="8306"/>
              </w:tabs>
              <w:ind w:left="67"/>
              <w:jc w:val="both"/>
            </w:pPr>
          </w:p>
          <w:p w:rsidR="00DA6831" w:rsidRDefault="00DA6831" w:rsidP="00DA6831">
            <w:pPr>
              <w:pStyle w:val="Header"/>
              <w:tabs>
                <w:tab w:val="clear" w:pos="4153"/>
                <w:tab w:val="clear" w:pos="8306"/>
              </w:tabs>
              <w:ind w:left="67"/>
              <w:jc w:val="both"/>
            </w:pPr>
            <w:r>
              <w:t>The Police in Liverpool were contacted and asked to provide a view on the competence of the proposed new operator. They had no adverse information to offer and provided a written overview which is attached as Appendix 3</w:t>
            </w:r>
          </w:p>
          <w:p w:rsidR="00CC4E16" w:rsidRDefault="00CC4E16" w:rsidP="00DA6831">
            <w:pPr>
              <w:pStyle w:val="Header"/>
              <w:tabs>
                <w:tab w:val="clear" w:pos="4153"/>
                <w:tab w:val="clear" w:pos="8306"/>
              </w:tabs>
              <w:ind w:left="67"/>
              <w:jc w:val="both"/>
            </w:pPr>
          </w:p>
          <w:p w:rsidR="00CC4E16" w:rsidRDefault="00CC4E16" w:rsidP="00DA6831">
            <w:pPr>
              <w:pStyle w:val="Header"/>
              <w:tabs>
                <w:tab w:val="clear" w:pos="4153"/>
                <w:tab w:val="clear" w:pos="8306"/>
              </w:tabs>
              <w:ind w:left="67"/>
              <w:jc w:val="both"/>
            </w:pPr>
            <w:r>
              <w:t>An application to transfer the licence and vary the DPS has now been received, the Police in Lancashire have no objections and have confirmed the same in an e mail attached as Appendix 4</w:t>
            </w:r>
          </w:p>
          <w:p w:rsidR="00DA6831" w:rsidRDefault="00DA6831" w:rsidP="00DA6831">
            <w:pPr>
              <w:pStyle w:val="Header"/>
              <w:tabs>
                <w:tab w:val="clear" w:pos="4153"/>
                <w:tab w:val="clear" w:pos="8306"/>
              </w:tabs>
              <w:ind w:left="67"/>
              <w:jc w:val="both"/>
            </w:pPr>
          </w:p>
          <w:p w:rsidR="00DA6831" w:rsidRPr="00D559FE" w:rsidRDefault="00DA6831" w:rsidP="00DA6831">
            <w:pPr>
              <w:pStyle w:val="Header"/>
              <w:tabs>
                <w:tab w:val="clear" w:pos="4153"/>
                <w:tab w:val="clear" w:pos="8306"/>
              </w:tabs>
              <w:ind w:left="67"/>
              <w:jc w:val="both"/>
              <w:rPr>
                <w:b/>
              </w:rPr>
            </w:pPr>
            <w:r w:rsidRPr="00D559FE">
              <w:rPr>
                <w:b/>
              </w:rPr>
              <w:t>Conclusion</w:t>
            </w:r>
          </w:p>
          <w:p w:rsidR="00317FFC" w:rsidRDefault="00317FFC" w:rsidP="00317FFC">
            <w:pPr>
              <w:pStyle w:val="Header"/>
              <w:tabs>
                <w:tab w:val="clear" w:pos="4153"/>
                <w:tab w:val="clear" w:pos="8306"/>
              </w:tabs>
              <w:ind w:left="720"/>
              <w:jc w:val="both"/>
            </w:pPr>
          </w:p>
          <w:p w:rsidR="00317FFC" w:rsidRDefault="00317FFC" w:rsidP="00317FFC">
            <w:pPr>
              <w:pStyle w:val="Header"/>
              <w:tabs>
                <w:tab w:val="clear" w:pos="4153"/>
                <w:tab w:val="clear" w:pos="8306"/>
              </w:tabs>
              <w:jc w:val="both"/>
            </w:pPr>
          </w:p>
          <w:p w:rsidR="00DA6831" w:rsidRDefault="00DA6831" w:rsidP="00317FFC">
            <w:pPr>
              <w:pStyle w:val="Header"/>
              <w:tabs>
                <w:tab w:val="clear" w:pos="4153"/>
                <w:tab w:val="clear" w:pos="8306"/>
              </w:tabs>
              <w:jc w:val="both"/>
            </w:pPr>
            <w:r>
              <w:t>In circumstance</w:t>
            </w:r>
            <w:r w:rsidR="009B4DE1">
              <w:t>s</w:t>
            </w:r>
            <w:r>
              <w:t xml:space="preserve"> where a licence is refused or revoked a tactic to be aware of is the replacement of the name on the licence to camouflage the fact that the problem hasn’t gone away but is no longer in plain sight.</w:t>
            </w:r>
          </w:p>
          <w:p w:rsidR="001F099D" w:rsidRDefault="001F099D" w:rsidP="00317FFC">
            <w:pPr>
              <w:pStyle w:val="Header"/>
              <w:tabs>
                <w:tab w:val="clear" w:pos="4153"/>
                <w:tab w:val="clear" w:pos="8306"/>
              </w:tabs>
              <w:jc w:val="both"/>
            </w:pPr>
          </w:p>
          <w:p w:rsidR="00DA6831" w:rsidRDefault="00DA6831" w:rsidP="00317FFC">
            <w:pPr>
              <w:pStyle w:val="Header"/>
              <w:tabs>
                <w:tab w:val="clear" w:pos="4153"/>
                <w:tab w:val="clear" w:pos="8306"/>
              </w:tabs>
              <w:jc w:val="both"/>
            </w:pPr>
            <w:r>
              <w:t xml:space="preserve">If a licence is transferred but the problem individual still has an equitable interest then we as Authority cannot ensure the </w:t>
            </w:r>
            <w:r>
              <w:lastRenderedPageBreak/>
              <w:t xml:space="preserve">Licensing Objectives will be adequately safeguarded and the prospect of defending an appeal would be more realistic. </w:t>
            </w:r>
          </w:p>
          <w:p w:rsidR="00DA6831" w:rsidRDefault="00DA6831" w:rsidP="00317FFC">
            <w:pPr>
              <w:pStyle w:val="Header"/>
              <w:tabs>
                <w:tab w:val="clear" w:pos="4153"/>
                <w:tab w:val="clear" w:pos="8306"/>
              </w:tabs>
              <w:jc w:val="both"/>
            </w:pPr>
            <w:r>
              <w:t xml:space="preserve">However in this case there is actual severance from the proposed licence holder </w:t>
            </w:r>
            <w:r w:rsidR="00082325">
              <w:t>and the problematic licence holder.</w:t>
            </w:r>
          </w:p>
          <w:p w:rsidR="00082325" w:rsidRPr="003305C2" w:rsidRDefault="00082325" w:rsidP="00317FFC">
            <w:pPr>
              <w:pStyle w:val="Header"/>
              <w:tabs>
                <w:tab w:val="clear" w:pos="4153"/>
                <w:tab w:val="clear" w:pos="8306"/>
              </w:tabs>
              <w:jc w:val="both"/>
            </w:pPr>
            <w:r>
              <w:t>A commercial lease has been drawn up and based upon the background check  provide by Merseyside we will have great difficulty attributing the problems caused in the past to the new licence holder. For that reason a</w:t>
            </w:r>
            <w:r w:rsidR="001F099D">
              <w:t xml:space="preserve"> settlement </w:t>
            </w:r>
            <w:r w:rsidR="00CC4E16">
              <w:t>of the</w:t>
            </w:r>
            <w:r>
              <w:t xml:space="preserve"> Appeal should be considered, offering no evidence for the Appeal and agreeing a consent order will save costs </w:t>
            </w:r>
            <w:r w:rsidR="00D559FE">
              <w:t>and is appropriate in the circumstances.</w:t>
            </w:r>
          </w:p>
          <w:p w:rsidR="003917A8" w:rsidRDefault="003917A8" w:rsidP="00860C6D">
            <w:pPr>
              <w:jc w:val="both"/>
              <w:rPr>
                <w:rFonts w:ascii="Arial" w:hAnsi="Arial"/>
                <w:sz w:val="22"/>
              </w:rPr>
            </w:pPr>
          </w:p>
        </w:tc>
        <w:bookmarkStart w:id="0" w:name="_GoBack"/>
        <w:bookmarkEnd w:id="0"/>
      </w:tr>
      <w:tr w:rsidR="00AA7B29" w:rsidTr="00497D11">
        <w:tc>
          <w:tcPr>
            <w:tcW w:w="3227" w:type="dxa"/>
          </w:tcPr>
          <w:p w:rsidR="00AA7B29" w:rsidRDefault="00AA7B29">
            <w:pPr>
              <w:rPr>
                <w:rFonts w:ascii="Arial" w:hAnsi="Arial"/>
                <w:b/>
                <w:sz w:val="22"/>
              </w:rPr>
            </w:pPr>
          </w:p>
        </w:tc>
        <w:tc>
          <w:tcPr>
            <w:tcW w:w="6095" w:type="dxa"/>
            <w:gridSpan w:val="4"/>
          </w:tcPr>
          <w:p w:rsidR="00AA7B29" w:rsidRDefault="00AA7B29" w:rsidP="00CB4CD6">
            <w:pPr>
              <w:jc w:val="both"/>
              <w:rPr>
                <w:rFonts w:ascii="Arial" w:hAnsi="Arial"/>
                <w:sz w:val="22"/>
              </w:rPr>
            </w:pPr>
          </w:p>
        </w:tc>
      </w:tr>
      <w:tr w:rsidR="00AA7B29" w:rsidTr="00497D11">
        <w:tc>
          <w:tcPr>
            <w:tcW w:w="3227" w:type="dxa"/>
          </w:tcPr>
          <w:p w:rsidR="00AA7B29" w:rsidRDefault="001976A0">
            <w:pPr>
              <w:rPr>
                <w:rFonts w:ascii="Arial" w:hAnsi="Arial"/>
                <w:b/>
                <w:sz w:val="22"/>
              </w:rPr>
            </w:pPr>
            <w:r>
              <w:rPr>
                <w:rFonts w:ascii="Arial" w:hAnsi="Arial"/>
                <w:b/>
                <w:sz w:val="22"/>
              </w:rPr>
              <w:t>Wider Implications (including Financial, Legal, Equality and Risk):</w:t>
            </w:r>
          </w:p>
          <w:p w:rsidR="00AA7B29" w:rsidRDefault="00AA7B29">
            <w:pPr>
              <w:rPr>
                <w:rFonts w:ascii="Arial" w:hAnsi="Arial"/>
                <w:b/>
                <w:sz w:val="22"/>
              </w:rPr>
            </w:pPr>
          </w:p>
        </w:tc>
        <w:tc>
          <w:tcPr>
            <w:tcW w:w="6095" w:type="dxa"/>
            <w:gridSpan w:val="4"/>
            <w:tcBorders>
              <w:top w:val="single" w:sz="4" w:space="0" w:color="auto"/>
              <w:left w:val="single" w:sz="4" w:space="0" w:color="auto"/>
              <w:bottom w:val="single" w:sz="4" w:space="0" w:color="auto"/>
              <w:right w:val="single" w:sz="4" w:space="0" w:color="auto"/>
            </w:tcBorders>
          </w:tcPr>
          <w:p w:rsidR="00497D11" w:rsidRDefault="00CC4E16" w:rsidP="00113EFC">
            <w:pPr>
              <w:jc w:val="both"/>
              <w:rPr>
                <w:rFonts w:ascii="Arial" w:hAnsi="Arial"/>
                <w:sz w:val="22"/>
              </w:rPr>
            </w:pPr>
            <w:r>
              <w:rPr>
                <w:rFonts w:ascii="Arial" w:hAnsi="Arial"/>
                <w:sz w:val="22"/>
              </w:rPr>
              <w:t>Legal implications can be found in the body of the report, if we don’t settle this matter the Council may be ordered to pay the costs of the other party.</w:t>
            </w:r>
          </w:p>
        </w:tc>
      </w:tr>
      <w:tr w:rsidR="00AA7B29" w:rsidTr="00497D11">
        <w:tc>
          <w:tcPr>
            <w:tcW w:w="3227" w:type="dxa"/>
          </w:tcPr>
          <w:p w:rsidR="00AA7B29" w:rsidRDefault="00AA7B29">
            <w:pPr>
              <w:rPr>
                <w:rFonts w:ascii="Arial" w:hAnsi="Arial"/>
                <w:b/>
                <w:sz w:val="22"/>
              </w:rPr>
            </w:pPr>
          </w:p>
        </w:tc>
        <w:tc>
          <w:tcPr>
            <w:tcW w:w="6095" w:type="dxa"/>
            <w:gridSpan w:val="4"/>
          </w:tcPr>
          <w:p w:rsidR="00AA7B29" w:rsidRDefault="00AA7B29">
            <w:pPr>
              <w:rPr>
                <w:rFonts w:ascii="Arial" w:hAnsi="Arial"/>
                <w:sz w:val="22"/>
              </w:rPr>
            </w:pPr>
          </w:p>
        </w:tc>
      </w:tr>
      <w:tr w:rsidR="00AA7B29" w:rsidTr="00497D11">
        <w:tc>
          <w:tcPr>
            <w:tcW w:w="3227" w:type="dxa"/>
          </w:tcPr>
          <w:p w:rsidR="00AA7B29" w:rsidRDefault="001976A0">
            <w:pPr>
              <w:rPr>
                <w:rFonts w:ascii="Arial" w:hAnsi="Arial"/>
                <w:b/>
                <w:sz w:val="22"/>
              </w:rPr>
            </w:pPr>
            <w:r>
              <w:rPr>
                <w:rFonts w:ascii="Arial" w:hAnsi="Arial"/>
                <w:b/>
                <w:sz w:val="22"/>
              </w:rPr>
              <w:t>Report attached?</w:t>
            </w:r>
          </w:p>
        </w:tc>
        <w:tc>
          <w:tcPr>
            <w:tcW w:w="6095" w:type="dxa"/>
            <w:gridSpan w:val="4"/>
            <w:tcBorders>
              <w:top w:val="single" w:sz="4" w:space="0" w:color="auto"/>
              <w:left w:val="single" w:sz="4" w:space="0" w:color="auto"/>
              <w:bottom w:val="single" w:sz="4" w:space="0" w:color="auto"/>
              <w:right w:val="single" w:sz="4" w:space="0" w:color="auto"/>
            </w:tcBorders>
          </w:tcPr>
          <w:p w:rsidR="00AA7B29" w:rsidRDefault="00D559FE">
            <w:pPr>
              <w:rPr>
                <w:rFonts w:ascii="Arial" w:hAnsi="Arial"/>
                <w:sz w:val="22"/>
              </w:rPr>
            </w:pPr>
            <w:r>
              <w:rPr>
                <w:rFonts w:ascii="Arial" w:hAnsi="Arial"/>
                <w:sz w:val="22"/>
              </w:rPr>
              <w:t>No</w:t>
            </w:r>
          </w:p>
        </w:tc>
      </w:tr>
      <w:tr w:rsidR="00AA7B29" w:rsidTr="00497D11">
        <w:tc>
          <w:tcPr>
            <w:tcW w:w="3227" w:type="dxa"/>
          </w:tcPr>
          <w:p w:rsidR="00AA7B29" w:rsidRDefault="001976A0">
            <w:pPr>
              <w:rPr>
                <w:rFonts w:ascii="Arial" w:hAnsi="Arial"/>
                <w:b/>
                <w:sz w:val="22"/>
              </w:rPr>
            </w:pPr>
            <w:r>
              <w:rPr>
                <w:rFonts w:ascii="Arial" w:hAnsi="Arial"/>
                <w:b/>
                <w:sz w:val="22"/>
              </w:rPr>
              <w:t>Exempt from publication?</w:t>
            </w:r>
          </w:p>
        </w:tc>
        <w:tc>
          <w:tcPr>
            <w:tcW w:w="6095" w:type="dxa"/>
            <w:gridSpan w:val="4"/>
            <w:tcBorders>
              <w:top w:val="single" w:sz="4" w:space="0" w:color="auto"/>
              <w:left w:val="single" w:sz="4" w:space="0" w:color="auto"/>
              <w:bottom w:val="single" w:sz="4" w:space="0" w:color="auto"/>
              <w:right w:val="single" w:sz="4" w:space="0" w:color="auto"/>
            </w:tcBorders>
          </w:tcPr>
          <w:p w:rsidR="00AA7B29" w:rsidRDefault="00D559FE">
            <w:pPr>
              <w:rPr>
                <w:rFonts w:ascii="Arial" w:hAnsi="Arial"/>
                <w:sz w:val="22"/>
              </w:rPr>
            </w:pPr>
            <w:r>
              <w:rPr>
                <w:rFonts w:ascii="Arial" w:hAnsi="Arial"/>
                <w:sz w:val="22"/>
              </w:rPr>
              <w:t>No</w:t>
            </w:r>
          </w:p>
        </w:tc>
      </w:tr>
      <w:tr w:rsidR="00AA7B29" w:rsidTr="00497D11">
        <w:tc>
          <w:tcPr>
            <w:tcW w:w="3227" w:type="dxa"/>
          </w:tcPr>
          <w:p w:rsidR="00AA7B29" w:rsidRDefault="001976A0">
            <w:pPr>
              <w:rPr>
                <w:rFonts w:ascii="Arial" w:hAnsi="Arial"/>
                <w:b/>
                <w:sz w:val="22"/>
              </w:rPr>
            </w:pPr>
            <w:r>
              <w:rPr>
                <w:rFonts w:ascii="Arial" w:hAnsi="Arial"/>
                <w:b/>
                <w:sz w:val="22"/>
              </w:rPr>
              <w:t>If exempt, give reason(s):</w:t>
            </w:r>
          </w:p>
          <w:p w:rsidR="00AA7B29" w:rsidRDefault="00AA7B29">
            <w:pPr>
              <w:rPr>
                <w:rFonts w:ascii="Arial" w:hAnsi="Arial"/>
                <w:b/>
                <w:sz w:val="22"/>
              </w:rPr>
            </w:pPr>
          </w:p>
          <w:p w:rsidR="00AA7B29" w:rsidRDefault="00AA7B29">
            <w:pPr>
              <w:rPr>
                <w:rFonts w:ascii="Arial" w:hAnsi="Arial"/>
                <w:b/>
                <w:sz w:val="22"/>
              </w:rPr>
            </w:pPr>
          </w:p>
        </w:tc>
        <w:tc>
          <w:tcPr>
            <w:tcW w:w="6095" w:type="dxa"/>
            <w:gridSpan w:val="4"/>
            <w:tcBorders>
              <w:top w:val="single" w:sz="4" w:space="0" w:color="auto"/>
              <w:left w:val="single" w:sz="4" w:space="0" w:color="auto"/>
              <w:bottom w:val="single" w:sz="4" w:space="0" w:color="auto"/>
              <w:right w:val="single" w:sz="4" w:space="0" w:color="auto"/>
            </w:tcBorders>
          </w:tcPr>
          <w:p w:rsidR="00AA7B29" w:rsidRDefault="00AA7B29">
            <w:pPr>
              <w:rPr>
                <w:rFonts w:ascii="Arial" w:hAnsi="Arial"/>
                <w:sz w:val="22"/>
              </w:rPr>
            </w:pPr>
          </w:p>
        </w:tc>
      </w:tr>
      <w:tr w:rsidR="00AA7B29" w:rsidTr="00497D11">
        <w:tc>
          <w:tcPr>
            <w:tcW w:w="3227" w:type="dxa"/>
          </w:tcPr>
          <w:p w:rsidR="00497D11" w:rsidRDefault="00497D11">
            <w:pPr>
              <w:rPr>
                <w:rFonts w:ascii="Arial" w:hAnsi="Arial"/>
                <w:b/>
                <w:sz w:val="22"/>
              </w:rPr>
            </w:pPr>
          </w:p>
          <w:p w:rsidR="00497D11" w:rsidRDefault="00497D11">
            <w:pPr>
              <w:rPr>
                <w:rFonts w:ascii="Arial" w:hAnsi="Arial"/>
                <w:b/>
                <w:sz w:val="22"/>
              </w:rPr>
            </w:pPr>
          </w:p>
          <w:p w:rsidR="00497D11" w:rsidRDefault="00497D11">
            <w:pPr>
              <w:rPr>
                <w:rFonts w:ascii="Arial" w:hAnsi="Arial"/>
                <w:b/>
                <w:sz w:val="22"/>
              </w:rPr>
            </w:pPr>
          </w:p>
          <w:p w:rsidR="00AA7B29" w:rsidRDefault="001976A0">
            <w:pPr>
              <w:rPr>
                <w:rFonts w:ascii="Arial" w:hAnsi="Arial"/>
                <w:b/>
                <w:sz w:val="22"/>
              </w:rPr>
            </w:pPr>
            <w:r>
              <w:rPr>
                <w:rFonts w:ascii="Arial" w:hAnsi="Arial"/>
                <w:b/>
                <w:sz w:val="22"/>
              </w:rPr>
              <w:t>Signed:</w:t>
            </w:r>
          </w:p>
        </w:tc>
        <w:tc>
          <w:tcPr>
            <w:tcW w:w="6095" w:type="dxa"/>
            <w:gridSpan w:val="4"/>
          </w:tcPr>
          <w:p w:rsidR="00AA7B29" w:rsidRDefault="00AA7B29">
            <w:pPr>
              <w:rPr>
                <w:rFonts w:ascii="Arial" w:hAnsi="Arial"/>
                <w:sz w:val="22"/>
              </w:rPr>
            </w:pPr>
          </w:p>
        </w:tc>
      </w:tr>
      <w:tr w:rsidR="00AA7B29" w:rsidTr="00497D11">
        <w:tc>
          <w:tcPr>
            <w:tcW w:w="3227" w:type="dxa"/>
          </w:tcPr>
          <w:p w:rsidR="00AA7B29" w:rsidRDefault="00AA7B29">
            <w:pPr>
              <w:rPr>
                <w:rFonts w:ascii="Arial" w:hAnsi="Arial"/>
                <w:b/>
                <w:sz w:val="22"/>
              </w:rPr>
            </w:pPr>
          </w:p>
        </w:tc>
        <w:tc>
          <w:tcPr>
            <w:tcW w:w="6095" w:type="dxa"/>
            <w:gridSpan w:val="4"/>
          </w:tcPr>
          <w:p w:rsidR="00AA7B29" w:rsidRDefault="00AA7B29">
            <w:pPr>
              <w:rPr>
                <w:rFonts w:ascii="Arial" w:hAnsi="Arial"/>
                <w:sz w:val="22"/>
              </w:rPr>
            </w:pPr>
          </w:p>
        </w:tc>
      </w:tr>
      <w:tr w:rsidR="00AA7B29" w:rsidTr="00497D11">
        <w:trPr>
          <w:cantSplit/>
        </w:trPr>
        <w:tc>
          <w:tcPr>
            <w:tcW w:w="3227" w:type="dxa"/>
            <w:tcBorders>
              <w:top w:val="single" w:sz="4" w:space="0" w:color="auto"/>
              <w:left w:val="single" w:sz="4" w:space="0" w:color="auto"/>
              <w:right w:val="single" w:sz="4" w:space="0" w:color="auto"/>
            </w:tcBorders>
          </w:tcPr>
          <w:p w:rsidR="00AA7B29" w:rsidRDefault="00AA7B29">
            <w:pPr>
              <w:rPr>
                <w:rFonts w:ascii="Arial" w:hAnsi="Arial"/>
                <w:sz w:val="22"/>
              </w:rPr>
            </w:pPr>
          </w:p>
        </w:tc>
        <w:tc>
          <w:tcPr>
            <w:tcW w:w="1559" w:type="dxa"/>
            <w:tcBorders>
              <w:left w:val="nil"/>
            </w:tcBorders>
          </w:tcPr>
          <w:p w:rsidR="00AA7B29" w:rsidRDefault="00AA7B29">
            <w:pPr>
              <w:rPr>
                <w:rFonts w:ascii="Arial" w:hAnsi="Arial"/>
                <w:sz w:val="22"/>
              </w:rPr>
            </w:pPr>
          </w:p>
          <w:p w:rsidR="00AA7B29" w:rsidRDefault="00AA7B29">
            <w:pPr>
              <w:rPr>
                <w:rFonts w:ascii="Arial" w:hAnsi="Arial"/>
                <w:sz w:val="22"/>
              </w:rPr>
            </w:pPr>
          </w:p>
          <w:p w:rsidR="00AA7B29" w:rsidRDefault="001976A0">
            <w:pPr>
              <w:rPr>
                <w:rFonts w:ascii="Arial" w:hAnsi="Arial"/>
                <w:sz w:val="22"/>
              </w:rPr>
            </w:pPr>
            <w:r>
              <w:rPr>
                <w:rFonts w:ascii="Arial" w:hAnsi="Arial"/>
                <w:sz w:val="22"/>
              </w:rPr>
              <w:t>SMT Member</w:t>
            </w:r>
          </w:p>
        </w:tc>
        <w:tc>
          <w:tcPr>
            <w:tcW w:w="3119" w:type="dxa"/>
            <w:gridSpan w:val="2"/>
            <w:tcBorders>
              <w:top w:val="single" w:sz="4" w:space="0" w:color="auto"/>
              <w:left w:val="single" w:sz="4" w:space="0" w:color="auto"/>
              <w:right w:val="single" w:sz="4" w:space="0" w:color="auto"/>
            </w:tcBorders>
          </w:tcPr>
          <w:p w:rsidR="00AA7B29" w:rsidRDefault="00AA7B29">
            <w:pPr>
              <w:rPr>
                <w:rFonts w:ascii="Arial" w:hAnsi="Arial"/>
                <w:sz w:val="22"/>
              </w:rPr>
            </w:pPr>
          </w:p>
        </w:tc>
        <w:tc>
          <w:tcPr>
            <w:tcW w:w="1417" w:type="dxa"/>
            <w:tcBorders>
              <w:left w:val="nil"/>
            </w:tcBorders>
          </w:tcPr>
          <w:p w:rsidR="00AA7B29" w:rsidRDefault="001976A0">
            <w:pPr>
              <w:rPr>
                <w:rFonts w:ascii="Arial" w:hAnsi="Arial"/>
                <w:sz w:val="22"/>
              </w:rPr>
            </w:pPr>
            <w:r>
              <w:rPr>
                <w:rFonts w:ascii="Arial" w:hAnsi="Arial"/>
                <w:sz w:val="22"/>
              </w:rPr>
              <w:t>Portfolio Holder/ Chairman</w:t>
            </w:r>
          </w:p>
        </w:tc>
      </w:tr>
      <w:tr w:rsidR="00AA7B29" w:rsidTr="00497D11">
        <w:tc>
          <w:tcPr>
            <w:tcW w:w="3227" w:type="dxa"/>
            <w:tcBorders>
              <w:top w:val="single" w:sz="4" w:space="0" w:color="auto"/>
              <w:left w:val="single" w:sz="4" w:space="0" w:color="auto"/>
              <w:bottom w:val="single" w:sz="4" w:space="0" w:color="auto"/>
              <w:right w:val="single" w:sz="4" w:space="0" w:color="auto"/>
            </w:tcBorders>
          </w:tcPr>
          <w:p w:rsidR="00AA7B29" w:rsidRDefault="001976A0">
            <w:pPr>
              <w:rPr>
                <w:rFonts w:ascii="Arial" w:hAnsi="Arial"/>
                <w:b/>
                <w:sz w:val="22"/>
              </w:rPr>
            </w:pPr>
            <w:r>
              <w:rPr>
                <w:rFonts w:ascii="Arial" w:hAnsi="Arial"/>
                <w:b/>
                <w:sz w:val="22"/>
              </w:rPr>
              <w:t>Date:</w:t>
            </w:r>
          </w:p>
          <w:p w:rsidR="00AA7B29" w:rsidRDefault="00AA7B29">
            <w:pPr>
              <w:rPr>
                <w:rFonts w:ascii="Arial" w:hAnsi="Arial"/>
                <w:b/>
                <w:sz w:val="22"/>
              </w:rPr>
            </w:pPr>
          </w:p>
        </w:tc>
        <w:tc>
          <w:tcPr>
            <w:tcW w:w="1559" w:type="dxa"/>
            <w:tcBorders>
              <w:left w:val="nil"/>
            </w:tcBorders>
          </w:tcPr>
          <w:p w:rsidR="00AA7B29" w:rsidRDefault="00AA7B29">
            <w:pPr>
              <w:rPr>
                <w:rFonts w:ascii="Arial" w:hAnsi="Arial"/>
                <w:sz w:val="22"/>
              </w:rPr>
            </w:pPr>
          </w:p>
        </w:tc>
        <w:tc>
          <w:tcPr>
            <w:tcW w:w="3119" w:type="dxa"/>
            <w:gridSpan w:val="2"/>
            <w:tcBorders>
              <w:top w:val="single" w:sz="4" w:space="0" w:color="auto"/>
              <w:left w:val="single" w:sz="4" w:space="0" w:color="auto"/>
              <w:bottom w:val="single" w:sz="4" w:space="0" w:color="auto"/>
              <w:right w:val="single" w:sz="4" w:space="0" w:color="auto"/>
            </w:tcBorders>
          </w:tcPr>
          <w:p w:rsidR="00AA7B29" w:rsidRDefault="001976A0">
            <w:pPr>
              <w:rPr>
                <w:rFonts w:ascii="Arial" w:hAnsi="Arial"/>
                <w:b/>
                <w:sz w:val="22"/>
              </w:rPr>
            </w:pPr>
            <w:r>
              <w:rPr>
                <w:rFonts w:ascii="Arial" w:hAnsi="Arial"/>
                <w:b/>
                <w:sz w:val="22"/>
              </w:rPr>
              <w:t>Date:</w:t>
            </w:r>
          </w:p>
          <w:p w:rsidR="00AA7B29" w:rsidRDefault="00AA7B29">
            <w:pPr>
              <w:rPr>
                <w:rFonts w:ascii="Arial" w:hAnsi="Arial"/>
                <w:b/>
                <w:sz w:val="22"/>
              </w:rPr>
            </w:pPr>
          </w:p>
        </w:tc>
        <w:tc>
          <w:tcPr>
            <w:tcW w:w="1417" w:type="dxa"/>
            <w:tcBorders>
              <w:left w:val="nil"/>
            </w:tcBorders>
          </w:tcPr>
          <w:p w:rsidR="00AA7B29" w:rsidRDefault="00AA7B29">
            <w:pPr>
              <w:rPr>
                <w:rFonts w:ascii="Arial" w:hAnsi="Arial"/>
                <w:sz w:val="22"/>
              </w:rPr>
            </w:pPr>
          </w:p>
        </w:tc>
      </w:tr>
      <w:tr w:rsidR="00AA7B29" w:rsidTr="00497D11">
        <w:tc>
          <w:tcPr>
            <w:tcW w:w="3227" w:type="dxa"/>
          </w:tcPr>
          <w:p w:rsidR="00AA7B29" w:rsidRDefault="00AA7B29">
            <w:pPr>
              <w:rPr>
                <w:rFonts w:ascii="Arial" w:hAnsi="Arial"/>
                <w:b/>
                <w:sz w:val="22"/>
              </w:rPr>
            </w:pPr>
          </w:p>
        </w:tc>
        <w:tc>
          <w:tcPr>
            <w:tcW w:w="6095" w:type="dxa"/>
            <w:gridSpan w:val="4"/>
            <w:tcBorders>
              <w:bottom w:val="single" w:sz="4" w:space="0" w:color="auto"/>
            </w:tcBorders>
          </w:tcPr>
          <w:p w:rsidR="00AA7B29" w:rsidRDefault="00AA7B29">
            <w:pPr>
              <w:rPr>
                <w:rFonts w:ascii="Arial" w:hAnsi="Arial"/>
                <w:sz w:val="22"/>
              </w:rPr>
            </w:pPr>
          </w:p>
          <w:p w:rsidR="00497D11" w:rsidRDefault="00497D11">
            <w:pPr>
              <w:rPr>
                <w:rFonts w:ascii="Arial" w:hAnsi="Arial"/>
                <w:sz w:val="22"/>
              </w:rPr>
            </w:pPr>
          </w:p>
          <w:p w:rsidR="00497D11" w:rsidRDefault="00497D11">
            <w:pPr>
              <w:rPr>
                <w:rFonts w:ascii="Arial" w:hAnsi="Arial"/>
                <w:sz w:val="22"/>
              </w:rPr>
            </w:pPr>
          </w:p>
          <w:p w:rsidR="00497D11" w:rsidRDefault="00497D11">
            <w:pPr>
              <w:rPr>
                <w:rFonts w:ascii="Arial" w:hAnsi="Arial"/>
                <w:sz w:val="22"/>
              </w:rPr>
            </w:pPr>
          </w:p>
          <w:p w:rsidR="00497D11" w:rsidRDefault="00497D11">
            <w:pPr>
              <w:rPr>
                <w:rFonts w:ascii="Arial" w:hAnsi="Arial"/>
                <w:sz w:val="22"/>
              </w:rPr>
            </w:pPr>
          </w:p>
          <w:p w:rsidR="00497D11" w:rsidRDefault="00497D11">
            <w:pPr>
              <w:rPr>
                <w:rFonts w:ascii="Arial" w:hAnsi="Arial"/>
                <w:sz w:val="22"/>
              </w:rPr>
            </w:pPr>
          </w:p>
          <w:p w:rsidR="00497D11" w:rsidRDefault="00497D11">
            <w:pPr>
              <w:rPr>
                <w:rFonts w:ascii="Arial" w:hAnsi="Arial"/>
                <w:sz w:val="22"/>
              </w:rPr>
            </w:pPr>
          </w:p>
        </w:tc>
      </w:tr>
    </w:tbl>
    <w:p w:rsidR="00AA7B29" w:rsidRDefault="001976A0">
      <w:pPr>
        <w:pStyle w:val="BodyText"/>
        <w:jc w:val="right"/>
        <w:rPr>
          <w:rFonts w:ascii="Arial" w:hAnsi="Arial"/>
          <w:b w:val="0"/>
          <w:sz w:val="8"/>
        </w:rPr>
      </w:pPr>
      <w:r>
        <w:rPr>
          <w:rFonts w:ascii="Arial" w:hAnsi="Arial"/>
          <w:b w:val="0"/>
          <w:sz w:val="8"/>
        </w:rPr>
        <w:t>Decision template revised June 2013</w:t>
      </w:r>
    </w:p>
    <w:p w:rsidR="00AA7B29" w:rsidRDefault="00AA7B29">
      <w:pPr>
        <w:pStyle w:val="BodyText"/>
        <w:rPr>
          <w:rFonts w:ascii="Arial" w:hAnsi="Arial"/>
          <w:sz w:val="22"/>
        </w:rPr>
      </w:pPr>
    </w:p>
    <w:p w:rsidR="001976A0" w:rsidRDefault="001976A0">
      <w:pPr>
        <w:pStyle w:val="BodyText"/>
        <w:rPr>
          <w:rFonts w:ascii="Arial" w:hAnsi="Arial"/>
        </w:rPr>
      </w:pPr>
      <w:r>
        <w:rPr>
          <w:rFonts w:ascii="Arial" w:hAnsi="Arial"/>
        </w:rPr>
        <w:t xml:space="preserve">THIS DECISION WILL COME INTO FORCE </w:t>
      </w:r>
      <w:r w:rsidR="00497D11">
        <w:rPr>
          <w:rFonts w:ascii="Arial" w:hAnsi="Arial"/>
        </w:rPr>
        <w:t>IMMEDIATELY</w:t>
      </w:r>
      <w:r>
        <w:rPr>
          <w:rFonts w:ascii="Arial" w:hAnsi="Arial"/>
        </w:rPr>
        <w:t xml:space="preserve"> IN ACCORDANCE WITH THE COUNCIL’S CONSTITUTION</w:t>
      </w:r>
    </w:p>
    <w:sectPr w:rsidR="001976A0">
      <w:pgSz w:w="11906" w:h="16838"/>
      <w:pgMar w:top="851" w:right="1440" w:bottom="85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62468"/>
    <w:multiLevelType w:val="hybridMultilevel"/>
    <w:tmpl w:val="B400033E"/>
    <w:lvl w:ilvl="0" w:tplc="E9B0AC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1B6570"/>
    <w:multiLevelType w:val="hybridMultilevel"/>
    <w:tmpl w:val="C6BEE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395D9F"/>
    <w:multiLevelType w:val="hybridMultilevel"/>
    <w:tmpl w:val="D3F601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1550CA6"/>
    <w:multiLevelType w:val="hybridMultilevel"/>
    <w:tmpl w:val="6E6EED78"/>
    <w:lvl w:ilvl="0" w:tplc="0809000F">
      <w:start w:val="1"/>
      <w:numFmt w:val="decimal"/>
      <w:lvlText w:val="%1."/>
      <w:lvlJc w:val="left"/>
      <w:pPr>
        <w:ind w:left="718"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4" w15:restartNumberingAfterBreak="0">
    <w:nsid w:val="78686EB2"/>
    <w:multiLevelType w:val="hybridMultilevel"/>
    <w:tmpl w:val="1996195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6A0"/>
    <w:rsid w:val="00082325"/>
    <w:rsid w:val="00113EFC"/>
    <w:rsid w:val="001976A0"/>
    <w:rsid w:val="001F099D"/>
    <w:rsid w:val="00221343"/>
    <w:rsid w:val="002B24D4"/>
    <w:rsid w:val="002E4BAF"/>
    <w:rsid w:val="00317FFC"/>
    <w:rsid w:val="00333731"/>
    <w:rsid w:val="003917A8"/>
    <w:rsid w:val="003A433D"/>
    <w:rsid w:val="00497D11"/>
    <w:rsid w:val="004E6650"/>
    <w:rsid w:val="0057070D"/>
    <w:rsid w:val="005E1736"/>
    <w:rsid w:val="005F0AE8"/>
    <w:rsid w:val="00603718"/>
    <w:rsid w:val="006403FB"/>
    <w:rsid w:val="006502F6"/>
    <w:rsid w:val="00705A9D"/>
    <w:rsid w:val="00732A5C"/>
    <w:rsid w:val="00860C6D"/>
    <w:rsid w:val="00865F63"/>
    <w:rsid w:val="008D409A"/>
    <w:rsid w:val="009B4DE1"/>
    <w:rsid w:val="009B513A"/>
    <w:rsid w:val="00A25825"/>
    <w:rsid w:val="00A60711"/>
    <w:rsid w:val="00AA7B29"/>
    <w:rsid w:val="00AD7DBB"/>
    <w:rsid w:val="00B06883"/>
    <w:rsid w:val="00B24A0E"/>
    <w:rsid w:val="00B325BA"/>
    <w:rsid w:val="00BE3626"/>
    <w:rsid w:val="00C3706E"/>
    <w:rsid w:val="00C40743"/>
    <w:rsid w:val="00CB4CD6"/>
    <w:rsid w:val="00CC4E16"/>
    <w:rsid w:val="00D10783"/>
    <w:rsid w:val="00D559FE"/>
    <w:rsid w:val="00D76842"/>
    <w:rsid w:val="00DA6831"/>
    <w:rsid w:val="00E60F38"/>
    <w:rsid w:val="00E64C39"/>
    <w:rsid w:val="00E9520F"/>
    <w:rsid w:val="00EC0771"/>
    <w:rsid w:val="00EC6A53"/>
    <w:rsid w:val="00F62B49"/>
    <w:rsid w:val="00FA3FEC"/>
    <w:rsid w:val="00FD4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628240-12BA-45BC-BF27-7BB5FFD13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rPr>
  </w:style>
  <w:style w:type="paragraph" w:styleId="BodyText2">
    <w:name w:val="Body Text 2"/>
    <w:basedOn w:val="Normal"/>
    <w:semiHidden/>
    <w:pPr>
      <w:jc w:val="center"/>
    </w:pPr>
    <w:rPr>
      <w:rFonts w:ascii="Arial" w:hAnsi="Arial"/>
      <w:b/>
      <w:sz w:val="22"/>
      <w:u w:val="single"/>
    </w:rPr>
  </w:style>
  <w:style w:type="paragraph" w:styleId="ListParagraph">
    <w:name w:val="List Paragraph"/>
    <w:basedOn w:val="Normal"/>
    <w:uiPriority w:val="34"/>
    <w:qFormat/>
    <w:rsid w:val="00AD7DBB"/>
    <w:pPr>
      <w:ind w:left="720"/>
      <w:contextualSpacing/>
    </w:pPr>
  </w:style>
  <w:style w:type="paragraph" w:styleId="BalloonText">
    <w:name w:val="Balloon Text"/>
    <w:basedOn w:val="Normal"/>
    <w:link w:val="BalloonTextChar"/>
    <w:uiPriority w:val="99"/>
    <w:semiHidden/>
    <w:unhideWhenUsed/>
    <w:rsid w:val="00D768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842"/>
    <w:rPr>
      <w:rFonts w:ascii="Segoe UI" w:hAnsi="Segoe UI" w:cs="Segoe UI"/>
      <w:sz w:val="18"/>
      <w:szCs w:val="18"/>
    </w:rPr>
  </w:style>
  <w:style w:type="character" w:styleId="CommentReference">
    <w:name w:val="annotation reference"/>
    <w:basedOn w:val="DefaultParagraphFont"/>
    <w:uiPriority w:val="99"/>
    <w:semiHidden/>
    <w:unhideWhenUsed/>
    <w:rsid w:val="00113EFC"/>
    <w:rPr>
      <w:sz w:val="16"/>
      <w:szCs w:val="16"/>
    </w:rPr>
  </w:style>
  <w:style w:type="paragraph" w:styleId="CommentText">
    <w:name w:val="annotation text"/>
    <w:basedOn w:val="Normal"/>
    <w:link w:val="CommentTextChar"/>
    <w:uiPriority w:val="99"/>
    <w:semiHidden/>
    <w:unhideWhenUsed/>
    <w:rsid w:val="00113EFC"/>
    <w:rPr>
      <w:sz w:val="20"/>
    </w:rPr>
  </w:style>
  <w:style w:type="character" w:customStyle="1" w:styleId="CommentTextChar">
    <w:name w:val="Comment Text Char"/>
    <w:basedOn w:val="DefaultParagraphFont"/>
    <w:link w:val="CommentText"/>
    <w:uiPriority w:val="99"/>
    <w:semiHidden/>
    <w:rsid w:val="00113EFC"/>
  </w:style>
  <w:style w:type="paragraph" w:styleId="CommentSubject">
    <w:name w:val="annotation subject"/>
    <w:basedOn w:val="CommentText"/>
    <w:next w:val="CommentText"/>
    <w:link w:val="CommentSubjectChar"/>
    <w:uiPriority w:val="99"/>
    <w:semiHidden/>
    <w:unhideWhenUsed/>
    <w:rsid w:val="00113EFC"/>
    <w:rPr>
      <w:b/>
      <w:bCs/>
    </w:rPr>
  </w:style>
  <w:style w:type="character" w:customStyle="1" w:styleId="CommentSubjectChar">
    <w:name w:val="Comment Subject Char"/>
    <w:basedOn w:val="CommentTextChar"/>
    <w:link w:val="CommentSubject"/>
    <w:uiPriority w:val="99"/>
    <w:semiHidden/>
    <w:rsid w:val="00113EFC"/>
    <w:rPr>
      <w:b/>
      <w:bCs/>
    </w:rPr>
  </w:style>
  <w:style w:type="paragraph" w:styleId="Header">
    <w:name w:val="header"/>
    <w:basedOn w:val="Normal"/>
    <w:link w:val="HeaderChar"/>
    <w:rsid w:val="00B325BA"/>
    <w:pPr>
      <w:tabs>
        <w:tab w:val="center" w:pos="4153"/>
        <w:tab w:val="right" w:pos="8306"/>
      </w:tabs>
    </w:pPr>
    <w:rPr>
      <w:rFonts w:ascii="Arial" w:hAnsi="Arial"/>
      <w:sz w:val="22"/>
    </w:rPr>
  </w:style>
  <w:style w:type="character" w:customStyle="1" w:styleId="HeaderChar">
    <w:name w:val="Header Char"/>
    <w:basedOn w:val="DefaultParagraphFont"/>
    <w:link w:val="Header"/>
    <w:rsid w:val="00B325B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906</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SOUTH RIBBLE BOROUGH COUNCIL</vt:lpstr>
    </vt:vector>
  </TitlesOfParts>
  <Company>South Ribble Council Lancs</Company>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RIBBLE BOROUGH COUNCIL</dc:title>
  <dc:creator>GX0620</dc:creator>
  <cp:lastModifiedBy>Mark Marshall</cp:lastModifiedBy>
  <cp:revision>3</cp:revision>
  <cp:lastPrinted>2019-04-24T08:16:00Z</cp:lastPrinted>
  <dcterms:created xsi:type="dcterms:W3CDTF">2019-04-24T08:17:00Z</dcterms:created>
  <dcterms:modified xsi:type="dcterms:W3CDTF">2019-04-25T07:27:00Z</dcterms:modified>
</cp:coreProperties>
</file>